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u w:val="single"/>
          <w:rtl w:val="0"/>
        </w:rPr>
        <w:t xml:space="preserve">Date Assigned:_______________</w:t>
      </w:r>
      <w:r w:rsidDel="00000000" w:rsidR="00000000" w:rsidRPr="00000000">
        <w:rPr>
          <w:b w:val="1"/>
          <w:sz w:val="24"/>
          <w:szCs w:val="24"/>
          <w:rtl w:val="0"/>
        </w:rPr>
        <w:t xml:space="preserve"> </w:t>
        <w:tab/>
        <w:t xml:space="preserve">      |||    </w:t>
        <w:tab/>
        <w:t xml:space="preserve">       </w:t>
      </w:r>
      <w:r w:rsidDel="00000000" w:rsidR="00000000" w:rsidRPr="00000000">
        <w:rPr>
          <w:b w:val="1"/>
          <w:sz w:val="24"/>
          <w:szCs w:val="24"/>
          <w:u w:val="single"/>
          <w:rtl w:val="0"/>
        </w:rPr>
        <w:t xml:space="preserve">Date Due:_______________</w:t>
      </w:r>
    </w:p>
    <w:p w:rsidR="00000000" w:rsidDel="00000000" w:rsidP="00000000" w:rsidRDefault="00000000" w:rsidRPr="00000000">
      <w:pPr>
        <w:contextualSpacing w:val="0"/>
        <w:jc w:val="center"/>
      </w:pPr>
      <w:r w:rsidDel="00000000" w:rsidR="00000000" w:rsidRPr="00000000">
        <w:rPr>
          <w:b w:val="1"/>
          <w:sz w:val="24"/>
          <w:szCs w:val="24"/>
          <w:u w:val="single"/>
          <w:rtl w:val="0"/>
        </w:rPr>
        <w:t xml:space="preserve">Reconstructing Political Cartoons</w:t>
      </w:r>
    </w:p>
    <w:p w:rsidR="00000000" w:rsidDel="00000000" w:rsidP="00000000" w:rsidRDefault="00000000" w:rsidRPr="00000000">
      <w:pPr>
        <w:contextualSpacing w:val="0"/>
      </w:pPr>
      <w:r w:rsidDel="00000000" w:rsidR="00000000" w:rsidRPr="00000000">
        <w:rPr>
          <w:rtl w:val="0"/>
        </w:rPr>
        <w:t xml:space="preserve">You’ve been using your HIPPO analysis skills when analysing political cartoons. Now it is up to you to create your own Reconstruction political cartoon. </w:t>
      </w:r>
    </w:p>
    <w:p w:rsidR="00000000" w:rsidDel="00000000" w:rsidP="00000000" w:rsidRDefault="00000000" w:rsidRPr="00000000">
      <w:pPr>
        <w:contextualSpacing w:val="0"/>
      </w:pPr>
      <w:r w:rsidDel="00000000" w:rsidR="00000000" w:rsidRPr="00000000">
        <w:rPr>
          <w:rtl w:val="0"/>
        </w:rPr>
        <w:t xml:space="preserve">Media shapes the way people look at political issues and have the ability to sway people from one side of an issue to another. You must create a political cartoon that could have been made during the Reconstruction era and that anyone could use a HIPPO analysis to dissect the message of.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may not simply copy an old Reconstruction cartoon. This must be your own original creation. You absolutely may draw your inspiration from the work of other authors, but what you create should reflect original thoughts and a personal style. This does not need to be in any particular medium, so go with what you feel can best communicate your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start this project you will need to pick </w:t>
      </w:r>
      <w:r w:rsidDel="00000000" w:rsidR="00000000" w:rsidRPr="00000000">
        <w:rPr>
          <w:b w:val="1"/>
          <w:i w:val="1"/>
          <w:u w:val="single"/>
          <w:rtl w:val="0"/>
        </w:rPr>
        <w:t xml:space="preserve">ONE</w:t>
      </w:r>
      <w:r w:rsidDel="00000000" w:rsidR="00000000" w:rsidRPr="00000000">
        <w:rPr>
          <w:rtl w:val="0"/>
        </w:rPr>
        <w:t xml:space="preserve"> of the boxes from each of the columns in the chart below. This will give you the information you need to make your political cartoon. The ‘role’ column indicates who you are writing from the perspective of. The ‘audience’ column indicates who you are writing the political cartoon for. In other words, the audience column tells you who the intended audience is. The ‘topic’ column tells you what you’re writing about. </w:t>
      </w:r>
      <w:r w:rsidDel="00000000" w:rsidR="00000000" w:rsidRPr="00000000">
        <w:rPr>
          <w:b w:val="1"/>
          <w:u w:val="single"/>
          <w:rtl w:val="0"/>
        </w:rPr>
        <w:t xml:space="preserve">You may NOT choose the same option for both role and audience.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key to a successful political cartoon is a thorough understanding of the relationship between the role of the creator, the audience, and the topic being discussed. Think carefully about what imagery, words, and ideas are held by each group! You should strongly consider the social, political, and economic relationship between these three ideas.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STEP 1: PICK A ROLE, AUDIENCE, AND TOPIC</w:t>
      </w:r>
    </w:p>
    <w:p w:rsidR="00000000" w:rsidDel="00000000" w:rsidP="00000000" w:rsidRDefault="00000000" w:rsidRPr="00000000">
      <w:pPr>
        <w:contextualSpacing w:val="0"/>
        <w:jc w:val="center"/>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b7b7b7"/>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Role</w:t>
            </w:r>
          </w:p>
        </w:tc>
        <w:tc>
          <w:tcPr>
            <w:shd w:fill="b7b7b7"/>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Audience</w:t>
            </w:r>
          </w:p>
        </w:tc>
        <w:tc>
          <w:tcPr>
            <w:shd w:fill="b7b7b7"/>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8"/>
                <w:szCs w:val="28"/>
                <w:rtl w:val="0"/>
              </w:rPr>
              <w:t xml:space="preserve">Topic</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Southern Plantation Owner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Congress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First Reconstruction Act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Freedman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The North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The KKK</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Union Soldier occupying the South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The South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President Andrew Johnson</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President Andrew Johnson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The KKK</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The Freedmen’s Bureau</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Radical Republican Congressman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President Andrew Johnson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z w:val="28"/>
                <w:szCs w:val="28"/>
                <w:rtl w:val="0"/>
              </w:rPr>
              <w:t xml:space="preserve">The Compromise of 1877</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STEP TWO: BRAINSTORM EVIDENCE, IMAGERY, AND WORD CHOICE</w:t>
      </w:r>
    </w:p>
    <w:p w:rsidR="00000000" w:rsidDel="00000000" w:rsidP="00000000" w:rsidRDefault="00000000" w:rsidRPr="00000000">
      <w:pPr>
        <w:contextualSpacing w:val="0"/>
        <w:jc w:val="center"/>
      </w:pPr>
      <w:r w:rsidDel="00000000" w:rsidR="00000000" w:rsidRPr="00000000">
        <w:rPr>
          <w:rtl w:val="0"/>
        </w:rPr>
        <w:t xml:space="preserve">No great message is complete on the first draft. Use this page to play with ideas, and create rough drafts of your work. Ask your teacher or peers to look at your work and give you their thoughts on your cartoon’s clarity and accuracy,</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br w:type="textWrapping"/>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Step Three: Create Your Cartoon</w:t>
      </w:r>
    </w:p>
    <w:p w:rsidR="00000000" w:rsidDel="00000000" w:rsidP="00000000" w:rsidRDefault="00000000" w:rsidRPr="00000000">
      <w:pPr>
        <w:contextualSpacing w:val="0"/>
        <w:jc w:val="center"/>
      </w:pPr>
      <w:r w:rsidDel="00000000" w:rsidR="00000000" w:rsidRPr="00000000">
        <w:rPr>
          <w:rtl w:val="0"/>
        </w:rPr>
        <w:t xml:space="preserve">On the next page there is a blank page provided for you to create your cartoon. However, you do </w:t>
      </w:r>
      <w:r w:rsidDel="00000000" w:rsidR="00000000" w:rsidRPr="00000000">
        <w:rPr>
          <w:b w:val="1"/>
          <w:i w:val="1"/>
          <w:u w:val="single"/>
          <w:rtl w:val="0"/>
        </w:rPr>
        <w:t xml:space="preserve">NOT</w:t>
      </w:r>
      <w:r w:rsidDel="00000000" w:rsidR="00000000" w:rsidRPr="00000000">
        <w:rPr>
          <w:rtl w:val="0"/>
        </w:rPr>
        <w:t xml:space="preserve"> have to use this page. You may use other paper/materials if you feel that will be more conducive to your work!</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r w:rsidDel="00000000" w:rsidR="00000000" w:rsidRPr="00000000">
        <mc:AlternateContent>
          <mc:Choice Requires="wpg">
            <w:drawing>
              <wp:anchor allowOverlap="1" behindDoc="1" distB="114300" distT="114300" distL="114300" distR="114300" hidden="0" layoutInCell="0" locked="0" relativeHeight="0" simplePos="0">
                <wp:simplePos x="0" y="0"/>
                <wp:positionH relativeFrom="margin">
                  <wp:posOffset>5715000</wp:posOffset>
                </wp:positionH>
                <wp:positionV relativeFrom="paragraph">
                  <wp:posOffset>1638300</wp:posOffset>
                </wp:positionV>
                <wp:extent cx="514350" cy="4143375"/>
                <wp:effectExtent b="0" l="0" r="0" t="0"/>
                <wp:wrapSquare wrapText="bothSides" distB="114300" distT="114300" distL="114300" distR="114300"/>
                <wp:docPr id="1" name=""/>
                <a:graphic>
                  <a:graphicData uri="http://schemas.microsoft.com/office/word/2010/wordprocessingShape">
                    <wps:wsp>
                      <wps:cNvSpPr txBox="1"/>
                      <wps:cNvPr id="2" name="Shape 2"/>
                      <wps:spPr>
                        <a:xfrm rot="5400000">
                          <a:off x="3762375" y="3009900"/>
                          <a:ext cx="4124400" cy="4953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8"/>
                                <w:u w:val="single"/>
                                <w:vertAlign w:val="baseline"/>
                              </w:rPr>
                              <w:t xml:space="preserve">                                  ‘s         </w:t>
                            </w:r>
                            <w:r w:rsidDel="00000000" w:rsidR="00000000" w:rsidRPr="00000000">
                              <w:rPr>
                                <w:rFonts w:ascii="Arial" w:cs="Arial" w:eastAsia="Arial" w:hAnsi="Arial"/>
                                <w:b w:val="1"/>
                                <w:i w:val="0"/>
                                <w:smallCaps w:val="0"/>
                                <w:strike w:val="0"/>
                                <w:color w:val="000000"/>
                                <w:sz w:val="28"/>
                                <w:u w:val="single"/>
                                <w:vertAlign w:val="baseline"/>
                              </w:rPr>
                              <w:t xml:space="preserve">Political Cartoon</w:t>
                            </w:r>
                          </w:p>
                        </w:txbxContent>
                      </wps:txbx>
                      <wps:bodyPr anchorCtr="0" anchor="t" bIns="91425" lIns="91425" rIns="91425" tIns="91425"/>
                    </wps:wsp>
                  </a:graphicData>
                </a:graphic>
              </wp:anchor>
            </w:drawing>
          </mc:Choice>
          <mc:Fallback>
            <w:drawing>
              <wp:anchor allowOverlap="1" behindDoc="0" distB="114300" distT="114300" distL="114300" distR="114300" hidden="0" layoutInCell="0" locked="0" relativeHeight="0" simplePos="0">
                <wp:simplePos x="0" y="0"/>
                <wp:positionH relativeFrom="margin">
                  <wp:posOffset>5715000</wp:posOffset>
                </wp:positionH>
                <wp:positionV relativeFrom="paragraph">
                  <wp:posOffset>1638300</wp:posOffset>
                </wp:positionV>
                <wp:extent cx="514350" cy="4143375"/>
                <wp:effectExtent b="0" l="0" r="0" t="0"/>
                <wp:wrapSquare wrapText="bothSides" distB="114300" distT="114300" distL="114300" distR="11430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514350" cy="4143375"/>
                        </a:xfrm>
                        <a:prstGeom prst="rect"/>
                        <a:ln/>
                      </pic:spPr>
                    </pic:pic>
                  </a:graphicData>
                </a:graphic>
              </wp:anchor>
            </w:drawing>
          </mc:Fallback>
        </mc:AlternateContent>
      </w:r>
    </w:p>
    <w:p w:rsidR="00000000" w:rsidDel="00000000" w:rsidP="00000000" w:rsidRDefault="00000000" w:rsidRPr="00000000">
      <w:pPr>
        <w:contextualSpacing w:val="0"/>
      </w:pPr>
      <w:r w:rsidDel="00000000" w:rsidR="00000000" w:rsidRPr="00000000">
        <w:rPr>
          <w:b w:val="1"/>
          <w:u w:val="single"/>
          <w:rtl w:val="0"/>
        </w:rPr>
        <w:t xml:space="preserve">Rubric:</w:t>
      </w:r>
    </w:p>
    <w:tbl>
      <w:tblPr>
        <w:tblStyle w:val="Table2"/>
        <w:bidi w:val="0"/>
        <w:tblW w:w="100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2115"/>
        <w:gridCol w:w="2070"/>
        <w:gridCol w:w="2160"/>
        <w:gridCol w:w="2145"/>
        <w:tblGridChange w:id="0">
          <w:tblGrid>
            <w:gridCol w:w="1605"/>
            <w:gridCol w:w="2115"/>
            <w:gridCol w:w="2070"/>
            <w:gridCol w:w="2160"/>
            <w:gridCol w:w="2145"/>
          </w:tblGrid>
        </w:tblGridChange>
      </w:tblGrid>
      <w:tr>
        <w:tc>
          <w:tcPr>
            <w:shd w:fill="99999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Category: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Exemplar</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Satisfactory</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Developing</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Incomplete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Accurate Reflection of the Role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Accurately reflects the opinions and mindset of the role, and utilizes effective language to communicate those ideas.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Accurately reflects the opinions and mindset of the role.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Reflects some of the opinions of the role, or reflects an incomplete understanding of that role’s opinions.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opinions and mindset of the role are not portrayed accurately, or are portrayed inappropriately. </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Role’s relation to audience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role’s relationship to the audience is clear and convincing, demonstrating a deep understanding of the social, political, or economic relationship between the role and the audience..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role’s relationship to the audience is clear, and demonstrating an understanding of the social, political, or economic relationship between the role and the audience.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role’s relationship to the audience is unclear, or there seems to be little understanding about the social, economic, or political relationship between the role and the audience.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role’s relationship to the audience is unclear, fundamentally incorrect, or not present.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Accurate information on the topic.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All information regarding the topic is clear and accurate, and demonstrates a deep understanding of the topic’s complexities.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All information regarding the topic is accurate, and an understanding of the most important points of the topic is present.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Information regarding the topic is unclear, somewhat accurate, or there is a misunderstanding about fundamental aspects of the topic.</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Information is unclear, inaccurate, or presented inappropriately.</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Clarity of presentation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Political cartoon’s presentation aids the reader in understanding the topics presented.</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Political cartoon can easily be interpreted by anyone who reads it.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Political cartoon is difficult to interpret by many who read it.</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Political cartoon is incomprehensible to the viewer.</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u w:val="single"/>
          <w:rtl w:val="0"/>
        </w:rPr>
        <w:t xml:space="preserve">Reconstructing Political Cartoons Part 2</w:t>
      </w: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After submitting your cartoon you will be given another classmate’s political cartoon at random. Your next job is to properly use HIPPO in order to analyze the political cartoon and dissect the meaning of the cartoon. What role is your classmate portraying? What audience are they targeting? What is the topic? To answer these questions fill out the HIPPO chart with your in-depth analysis and turn it in. Make sure to note on it what political cartoon you are reflecting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Rubric:</w:t>
      </w:r>
      <w:r w:rsidDel="00000000" w:rsidR="00000000" w:rsidRPr="00000000">
        <w:rPr>
          <w:rtl w:val="0"/>
        </w:rPr>
        <w:t xml:space="preserve"> </w:t>
      </w:r>
    </w:p>
    <w:tbl>
      <w:tblPr>
        <w:tblStyle w:val="Table3"/>
        <w:bidi w:val="0"/>
        <w:tblW w:w="11265.0" w:type="dxa"/>
        <w:jc w:val="left"/>
        <w:tblInd w:w="-8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2760"/>
        <w:gridCol w:w="1965"/>
        <w:gridCol w:w="2100"/>
        <w:gridCol w:w="2820"/>
        <w:tblGridChange w:id="0">
          <w:tblGrid>
            <w:gridCol w:w="1620"/>
            <w:gridCol w:w="2760"/>
            <w:gridCol w:w="1965"/>
            <w:gridCol w:w="2100"/>
            <w:gridCol w:w="2820"/>
          </w:tblGrid>
        </w:tblGridChange>
      </w:tblGrid>
      <w:tr>
        <w:trPr>
          <w:trHeight w:val="420" w:hRule="atLeast"/>
        </w:trPr>
        <w:tc>
          <w:tcPr>
            <w:shd w:fill="99999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Category:</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Exemplar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Satisfactory</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Developing</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Incomplete</w:t>
            </w:r>
          </w:p>
        </w:tc>
      </w:tr>
      <w:tr>
        <w:trPr>
          <w:trHeight w:val="222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Historical Context</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thorough understanding of the historical context of the cartoon and supports their argument with evidence.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an understanding of the historical context  of the cartoon.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limited understanding of the historical context of the cartoon.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no understanding of the historical context of the cartoon or completely misinterprets it.</w:t>
            </w:r>
          </w:p>
        </w:tc>
      </w:tr>
      <w:tr>
        <w:trPr>
          <w:trHeight w:val="1880" w:hRule="atLeast"/>
        </w:trP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Intended Audience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thorough understanding of the intended audience of the cartoon and supports their argument with evidence.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an understanding of the intended audience  of the cartoon.</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limited understanding of the intended audience of the cartoon.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no understanding of the intended audience of the cartoon or completely misinterprets it.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Purpose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thorough understanding of the purpose of the cartoon and supports their argument with evidence.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an understanding of the purpose  of the cartoon.</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limited understanding of the purpose of the cartoon.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no understanding of the purpose of the cartoon or completely misinterprets it.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Point of View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thorough understanding of the historical context of the cartoon and supports their argument with evidence.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an understanding of the point of view of the cartoon.</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limited understanding of the point of view of the cartoon.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no understanding of the point of view of the cartoon or completely misinterprets it.</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Other Information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thorough understanding of the other information and supports their argument with evidence.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an understanding of the other information used in the cartoon.</w:t>
            </w:r>
          </w:p>
          <w:p w:rsidR="00000000" w:rsidDel="00000000" w:rsidP="00000000" w:rsidRDefault="00000000" w:rsidRPr="00000000">
            <w:pPr>
              <w:widowControl w:val="0"/>
              <w:spacing w:line="240" w:lineRule="auto"/>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a limited understanding of the other information used in the cartoon.</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Demonstrates no understanding of the other information in the cartoon or completely misinterprets it.</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HIPPO Analysis</w:t>
      </w:r>
    </w:p>
    <w:p w:rsidR="00000000" w:rsidDel="00000000" w:rsidP="00000000" w:rsidRDefault="00000000" w:rsidRPr="00000000">
      <w:pPr>
        <w:contextualSpacing w:val="0"/>
      </w:pPr>
      <w:r w:rsidDel="00000000" w:rsidR="00000000" w:rsidRPr="00000000">
        <w:rPr>
          <w:rtl w:val="0"/>
        </w:rPr>
      </w:r>
    </w:p>
    <w:tbl>
      <w:tblPr>
        <w:tblStyle w:val="Table4"/>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8820"/>
        <w:tblGridChange w:id="0">
          <w:tblGrid>
            <w:gridCol w:w="540"/>
            <w:gridCol w:w="8820"/>
          </w:tblGrid>
        </w:tblGridChange>
      </w:tblGrid>
      <w:tr>
        <w:tc>
          <w:tcPr>
            <w:shd w:fill="99999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H</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shd w:fill="99999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I</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shd w:fill="99999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P</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shd w:fill="99999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P</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r>
        <w:tc>
          <w:tcPr>
            <w:shd w:fill="99999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footerReference r:id="rId6" w:type="default"/>
      <w:pgSz w:h="15840" w:w="12240"/>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footer" Target="footer1.xml"/></Relationships>
</file>